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3D75" w14:textId="7070964A" w:rsidR="00CE118A" w:rsidRPr="00181C0F" w:rsidRDefault="00CE118A">
      <w:pPr>
        <w:rPr>
          <w:rFonts w:ascii="Arial" w:hAnsi="Arial" w:cs="Arial"/>
        </w:rPr>
      </w:pPr>
      <w:r w:rsidRPr="00181C0F">
        <w:rPr>
          <w:rFonts w:ascii="Arial" w:hAnsi="Arial" w:cs="Arial"/>
        </w:rPr>
        <w:t>Dear Colleagues,</w:t>
      </w:r>
    </w:p>
    <w:p w14:paraId="7A118A25" w14:textId="55A2E4F6" w:rsidR="00CE118A" w:rsidRPr="00181C0F" w:rsidRDefault="00CE118A">
      <w:pPr>
        <w:rPr>
          <w:rFonts w:ascii="Arial" w:hAnsi="Arial" w:cs="Arial"/>
        </w:rPr>
      </w:pPr>
      <w:r w:rsidRPr="00181C0F">
        <w:rPr>
          <w:rFonts w:ascii="Arial" w:hAnsi="Arial" w:cs="Arial"/>
        </w:rPr>
        <w:t>We have been asked to provide some clarity regarding the use of chemoprevention in patients with a family history of breast cancer. The following information pertains to patients in Cornwall, who would therefore be eligible to access the Family history service at the Mermaid Centre. For patients elsewhere in the peninsula, advice will need to be sought from your local family history service.</w:t>
      </w:r>
    </w:p>
    <w:p w14:paraId="1FF20825" w14:textId="4F077ED9" w:rsidR="00CE118A" w:rsidRPr="00181C0F" w:rsidRDefault="00CE118A">
      <w:pPr>
        <w:rPr>
          <w:rFonts w:ascii="Arial" w:hAnsi="Arial" w:cs="Arial"/>
        </w:rPr>
      </w:pPr>
      <w:r w:rsidRPr="00181C0F">
        <w:rPr>
          <w:rFonts w:ascii="Arial" w:hAnsi="Arial" w:cs="Arial"/>
        </w:rPr>
        <w:t xml:space="preserve">The MHRA has this month authorised the use of Anastrozole to reduce the risk of breast cancer in postmenopausal women who are at increased lifetime risk of breast cancer (moderate or high risk). The reporting of this information in the media has prompted many patients to consult with their GP about eligibility for and access to this drug. </w:t>
      </w:r>
    </w:p>
    <w:p w14:paraId="013BB0BF" w14:textId="3E726371" w:rsidR="00CE118A" w:rsidRPr="00181C0F" w:rsidRDefault="00514B37">
      <w:pPr>
        <w:rPr>
          <w:rFonts w:ascii="Arial" w:hAnsi="Arial" w:cs="Arial"/>
        </w:rPr>
      </w:pPr>
      <w:r w:rsidRPr="00181C0F">
        <w:rPr>
          <w:rFonts w:ascii="Arial" w:hAnsi="Arial" w:cs="Arial"/>
        </w:rPr>
        <w:t xml:space="preserve">NICE </w:t>
      </w:r>
      <w:hyperlink r:id="rId7" w:history="1">
        <w:r w:rsidR="00543819">
          <w:rPr>
            <w:rStyle w:val="Hyperlink"/>
            <w:rFonts w:ascii="Arial" w:hAnsi="Arial" w:cs="Arial"/>
          </w:rPr>
          <w:t>clinical Guideline CG164</w:t>
        </w:r>
      </w:hyperlink>
      <w:r w:rsidRPr="00181C0F">
        <w:rPr>
          <w:rFonts w:ascii="Arial" w:hAnsi="Arial" w:cs="Arial"/>
        </w:rPr>
        <w:t xml:space="preserve"> has always advised that patients assessed to be at moderate or high </w:t>
      </w:r>
      <w:r w:rsidR="009A5C77" w:rsidRPr="00181C0F">
        <w:rPr>
          <w:rFonts w:ascii="Arial" w:hAnsi="Arial" w:cs="Arial"/>
        </w:rPr>
        <w:t>lifetime</w:t>
      </w:r>
      <w:r w:rsidRPr="00181C0F">
        <w:rPr>
          <w:rFonts w:ascii="Arial" w:hAnsi="Arial" w:cs="Arial"/>
        </w:rPr>
        <w:t xml:space="preserve"> risk of brea</w:t>
      </w:r>
      <w:r w:rsidR="009A5C77" w:rsidRPr="00181C0F">
        <w:rPr>
          <w:rFonts w:ascii="Arial" w:hAnsi="Arial" w:cs="Arial"/>
        </w:rPr>
        <w:t>st</w:t>
      </w:r>
      <w:r w:rsidRPr="00181C0F">
        <w:rPr>
          <w:rFonts w:ascii="Arial" w:hAnsi="Arial" w:cs="Arial"/>
        </w:rPr>
        <w:t xml:space="preserve"> cancer should be offered chemoprevention for up to 5 years in the form of:</w:t>
      </w:r>
    </w:p>
    <w:p w14:paraId="434CB22E" w14:textId="77777777" w:rsidR="004D1033" w:rsidRPr="00181C0F" w:rsidRDefault="00514B37">
      <w:pPr>
        <w:rPr>
          <w:rFonts w:ascii="Arial" w:hAnsi="Arial" w:cs="Arial"/>
        </w:rPr>
      </w:pPr>
      <w:r w:rsidRPr="00181C0F">
        <w:rPr>
          <w:rFonts w:ascii="Arial" w:hAnsi="Arial" w:cs="Arial"/>
        </w:rPr>
        <w:t>Tamoxifen for premenopausal patients</w:t>
      </w:r>
    </w:p>
    <w:p w14:paraId="12B25584" w14:textId="50C22686" w:rsidR="00514B37" w:rsidRPr="00181C0F" w:rsidRDefault="00514B37">
      <w:pPr>
        <w:rPr>
          <w:rFonts w:ascii="Arial" w:hAnsi="Arial" w:cs="Arial"/>
        </w:rPr>
      </w:pPr>
      <w:r w:rsidRPr="00181C0F">
        <w:rPr>
          <w:rFonts w:ascii="Arial" w:hAnsi="Arial" w:cs="Arial"/>
        </w:rPr>
        <w:t>Anastrozole for postmenopausal patients</w:t>
      </w:r>
    </w:p>
    <w:p w14:paraId="7954E6CD" w14:textId="3FFC8A99" w:rsidR="00514B37" w:rsidRPr="00181C0F" w:rsidRDefault="00F56167">
      <w:pPr>
        <w:rPr>
          <w:rFonts w:ascii="Arial" w:hAnsi="Arial" w:cs="Arial"/>
        </w:rPr>
      </w:pPr>
      <w:r w:rsidRPr="00181C0F">
        <w:rPr>
          <w:rFonts w:ascii="Arial" w:hAnsi="Arial" w:cs="Arial"/>
        </w:rPr>
        <w:t>As part of our family history risk assessments,</w:t>
      </w:r>
      <w:r w:rsidR="00514B37" w:rsidRPr="00181C0F">
        <w:rPr>
          <w:rFonts w:ascii="Arial" w:hAnsi="Arial" w:cs="Arial"/>
        </w:rPr>
        <w:t xml:space="preserve"> we have advised patients of this, sending them the appropriate NICE patient decision making aids.</w:t>
      </w:r>
    </w:p>
    <w:p w14:paraId="7C86874F" w14:textId="77777777" w:rsidR="00514B37" w:rsidRPr="00181C0F" w:rsidRDefault="00514B37">
      <w:pPr>
        <w:rPr>
          <w:rFonts w:ascii="Arial" w:hAnsi="Arial" w:cs="Arial"/>
        </w:rPr>
      </w:pPr>
    </w:p>
    <w:p w14:paraId="7360EB5E" w14:textId="7971A40D" w:rsidR="00514B37" w:rsidRPr="00181C0F" w:rsidRDefault="00514B37">
      <w:pPr>
        <w:rPr>
          <w:rFonts w:ascii="Arial" w:hAnsi="Arial" w:cs="Arial"/>
        </w:rPr>
      </w:pPr>
      <w:r w:rsidRPr="00181C0F">
        <w:rPr>
          <w:rFonts w:ascii="Arial" w:hAnsi="Arial" w:cs="Arial"/>
        </w:rPr>
        <w:t>Until this month, both Tamoxifen and Anastrozole have been prescribed for this indication</w:t>
      </w:r>
      <w:r w:rsidR="00DF0003" w:rsidRPr="00181C0F">
        <w:rPr>
          <w:rFonts w:ascii="Arial" w:hAnsi="Arial" w:cs="Arial"/>
        </w:rPr>
        <w:t>, Anastrozole being prescribed off-licence</w:t>
      </w:r>
      <w:r w:rsidRPr="00181C0F">
        <w:rPr>
          <w:rFonts w:ascii="Arial" w:hAnsi="Arial" w:cs="Arial"/>
        </w:rPr>
        <w:t>.</w:t>
      </w:r>
      <w:r w:rsidR="004D1033" w:rsidRPr="00181C0F">
        <w:rPr>
          <w:rFonts w:ascii="Arial" w:hAnsi="Arial" w:cs="Arial"/>
        </w:rPr>
        <w:t xml:space="preserve"> </w:t>
      </w:r>
      <w:r w:rsidR="00181C0F" w:rsidRPr="00181C0F">
        <w:rPr>
          <w:rFonts w:ascii="Arial" w:hAnsi="Arial" w:cs="Arial"/>
        </w:rPr>
        <w:t>Therefore,</w:t>
      </w:r>
      <w:r w:rsidRPr="00181C0F">
        <w:rPr>
          <w:rFonts w:ascii="Arial" w:hAnsi="Arial" w:cs="Arial"/>
        </w:rPr>
        <w:t xml:space="preserve"> the only change is that Anastrozole is now licen</w:t>
      </w:r>
      <w:r w:rsidR="00A6363C" w:rsidRPr="00181C0F">
        <w:rPr>
          <w:rFonts w:ascii="Arial" w:hAnsi="Arial" w:cs="Arial"/>
        </w:rPr>
        <w:t>c</w:t>
      </w:r>
      <w:r w:rsidRPr="00181C0F">
        <w:rPr>
          <w:rFonts w:ascii="Arial" w:hAnsi="Arial" w:cs="Arial"/>
        </w:rPr>
        <w:t xml:space="preserve">ed as chemoprevention. </w:t>
      </w:r>
    </w:p>
    <w:p w14:paraId="28ACD83C" w14:textId="77777777" w:rsidR="009A5E1A" w:rsidRDefault="009A5E1A">
      <w:pPr>
        <w:rPr>
          <w:rFonts w:ascii="Arial" w:hAnsi="Arial" w:cs="Arial"/>
          <w:u w:val="single"/>
        </w:rPr>
      </w:pPr>
    </w:p>
    <w:p w14:paraId="62F55458" w14:textId="77777777" w:rsidR="009A5E1A" w:rsidRDefault="009A5E1A">
      <w:pPr>
        <w:rPr>
          <w:rFonts w:ascii="Arial" w:hAnsi="Arial" w:cs="Arial"/>
          <w:u w:val="single"/>
        </w:rPr>
      </w:pPr>
    </w:p>
    <w:p w14:paraId="4EC52DEE" w14:textId="77777777" w:rsidR="009A5E1A" w:rsidRDefault="009A5E1A">
      <w:pPr>
        <w:rPr>
          <w:rFonts w:ascii="Arial" w:hAnsi="Arial" w:cs="Arial"/>
          <w:u w:val="single"/>
        </w:rPr>
      </w:pPr>
    </w:p>
    <w:p w14:paraId="2F874B8E" w14:textId="77777777" w:rsidR="009A5E1A" w:rsidRDefault="009A5E1A">
      <w:pPr>
        <w:rPr>
          <w:rFonts w:ascii="Arial" w:hAnsi="Arial" w:cs="Arial"/>
          <w:u w:val="single"/>
        </w:rPr>
      </w:pPr>
    </w:p>
    <w:p w14:paraId="30DC7D71" w14:textId="77777777" w:rsidR="009A5E1A" w:rsidRDefault="009A5E1A">
      <w:pPr>
        <w:rPr>
          <w:rFonts w:ascii="Arial" w:hAnsi="Arial" w:cs="Arial"/>
          <w:u w:val="single"/>
        </w:rPr>
      </w:pPr>
    </w:p>
    <w:p w14:paraId="481AD4E1" w14:textId="77777777" w:rsidR="009A5E1A" w:rsidRDefault="009A5E1A">
      <w:pPr>
        <w:rPr>
          <w:rFonts w:ascii="Arial" w:hAnsi="Arial" w:cs="Arial"/>
          <w:u w:val="single"/>
        </w:rPr>
      </w:pPr>
    </w:p>
    <w:p w14:paraId="7EB1C335" w14:textId="77777777" w:rsidR="009A5E1A" w:rsidRDefault="009A5E1A">
      <w:pPr>
        <w:rPr>
          <w:rFonts w:ascii="Arial" w:hAnsi="Arial" w:cs="Arial"/>
          <w:u w:val="single"/>
        </w:rPr>
      </w:pPr>
    </w:p>
    <w:p w14:paraId="3F5F9564" w14:textId="77777777" w:rsidR="009A5E1A" w:rsidRDefault="009A5E1A">
      <w:pPr>
        <w:rPr>
          <w:rFonts w:ascii="Arial" w:hAnsi="Arial" w:cs="Arial"/>
          <w:u w:val="single"/>
        </w:rPr>
      </w:pPr>
    </w:p>
    <w:p w14:paraId="146599C5" w14:textId="77777777" w:rsidR="009A5E1A" w:rsidRDefault="009A5E1A">
      <w:pPr>
        <w:rPr>
          <w:rFonts w:ascii="Arial" w:hAnsi="Arial" w:cs="Arial"/>
          <w:u w:val="single"/>
        </w:rPr>
      </w:pPr>
    </w:p>
    <w:p w14:paraId="6BE59E89" w14:textId="77777777" w:rsidR="009A5E1A" w:rsidRDefault="009A5E1A">
      <w:pPr>
        <w:rPr>
          <w:rFonts w:ascii="Arial" w:hAnsi="Arial" w:cs="Arial"/>
          <w:u w:val="single"/>
        </w:rPr>
      </w:pPr>
    </w:p>
    <w:p w14:paraId="0C0381B1" w14:textId="77777777" w:rsidR="009A5E1A" w:rsidRDefault="009A5E1A">
      <w:pPr>
        <w:rPr>
          <w:rFonts w:ascii="Arial" w:hAnsi="Arial" w:cs="Arial"/>
          <w:u w:val="single"/>
        </w:rPr>
      </w:pPr>
    </w:p>
    <w:p w14:paraId="7F23981E" w14:textId="7D932097" w:rsidR="004D1033" w:rsidRPr="00181C0F" w:rsidRDefault="00514B37">
      <w:pPr>
        <w:rPr>
          <w:rFonts w:ascii="Arial" w:hAnsi="Arial" w:cs="Arial"/>
          <w:u w:val="single"/>
        </w:rPr>
      </w:pPr>
      <w:r w:rsidRPr="00181C0F">
        <w:rPr>
          <w:rFonts w:ascii="Arial" w:hAnsi="Arial" w:cs="Arial"/>
          <w:u w:val="single"/>
        </w:rPr>
        <w:t xml:space="preserve">Our advice for patients in Cornwall </w:t>
      </w:r>
      <w:r w:rsidR="004D1033" w:rsidRPr="00181C0F">
        <w:rPr>
          <w:rFonts w:ascii="Arial" w:hAnsi="Arial" w:cs="Arial"/>
          <w:u w:val="single"/>
        </w:rPr>
        <w:t>is as follows:</w:t>
      </w:r>
    </w:p>
    <w:p w14:paraId="18F58115" w14:textId="1D65BF8C" w:rsidR="009A5E1A" w:rsidRDefault="004D1033" w:rsidP="004D1033">
      <w:pPr>
        <w:rPr>
          <w:rFonts w:ascii="Arial" w:hAnsi="Arial" w:cs="Arial"/>
        </w:rPr>
      </w:pPr>
      <w:r w:rsidRPr="00181C0F">
        <w:rPr>
          <w:rFonts w:ascii="Arial" w:hAnsi="Arial" w:cs="Arial"/>
        </w:rPr>
        <w:t xml:space="preserve">We are happy to provide a risk assessment in the Family history service for patients who meet the criteria from NICE CG164 for referral to secondary care as detailed the table below. Patients who do not meet these criteria will be considered as being at no greater risk than the background population, and thus are not eligible for </w:t>
      </w:r>
      <w:r w:rsidR="00A6363C" w:rsidRPr="00181C0F">
        <w:rPr>
          <w:rFonts w:ascii="Arial" w:hAnsi="Arial" w:cs="Arial"/>
        </w:rPr>
        <w:t>chemoprevention</w:t>
      </w:r>
      <w:r w:rsidRPr="00181C0F">
        <w:rPr>
          <w:rFonts w:ascii="Arial" w:hAnsi="Arial" w:cs="Arial"/>
        </w:rPr>
        <w:t>.</w:t>
      </w:r>
    </w:p>
    <w:p w14:paraId="2DEF954C" w14:textId="77777777" w:rsidR="009A5E1A" w:rsidRPr="00181C0F" w:rsidRDefault="009A5E1A" w:rsidP="004D1033">
      <w:pPr>
        <w:rPr>
          <w:rFonts w:ascii="Arial" w:hAnsi="Arial" w:cs="Arial"/>
        </w:rPr>
      </w:pPr>
    </w:p>
    <w:tbl>
      <w:tblPr>
        <w:tblStyle w:val="TableGrid"/>
        <w:tblW w:w="0" w:type="auto"/>
        <w:jc w:val="center"/>
        <w:tblLook w:val="04A0" w:firstRow="1" w:lastRow="0" w:firstColumn="1" w:lastColumn="0" w:noHBand="0" w:noVBand="1"/>
      </w:tblPr>
      <w:tblGrid>
        <w:gridCol w:w="1328"/>
        <w:gridCol w:w="1346"/>
        <w:gridCol w:w="648"/>
        <w:gridCol w:w="1683"/>
        <w:gridCol w:w="1022"/>
        <w:gridCol w:w="2989"/>
      </w:tblGrid>
      <w:tr w:rsidR="004D1033" w14:paraId="2CB407A5" w14:textId="77777777" w:rsidTr="009D7CD1">
        <w:trPr>
          <w:jc w:val="center"/>
        </w:trPr>
        <w:tc>
          <w:tcPr>
            <w:tcW w:w="12895" w:type="dxa"/>
            <w:gridSpan w:val="6"/>
            <w:shd w:val="clear" w:color="auto" w:fill="D9D9D9" w:themeFill="background1" w:themeFillShade="D9"/>
          </w:tcPr>
          <w:p w14:paraId="7FDFCDFF" w14:textId="77777777" w:rsidR="004D1033" w:rsidRPr="00181C0F" w:rsidRDefault="004D1033" w:rsidP="009D7CD1">
            <w:pPr>
              <w:jc w:val="center"/>
              <w:rPr>
                <w:rFonts w:ascii="Arial" w:hAnsi="Arial" w:cs="Arial"/>
              </w:rPr>
            </w:pPr>
            <w:r w:rsidRPr="00181C0F">
              <w:rPr>
                <w:rFonts w:ascii="Arial" w:hAnsi="Arial" w:cs="Arial"/>
              </w:rPr>
              <w:t>Take full two generation family history</w:t>
            </w:r>
          </w:p>
          <w:p w14:paraId="47EEBC21" w14:textId="77777777" w:rsidR="004D1033" w:rsidRPr="00181C0F" w:rsidRDefault="004D1033" w:rsidP="009D7CD1">
            <w:pPr>
              <w:jc w:val="center"/>
              <w:rPr>
                <w:rFonts w:ascii="Arial" w:hAnsi="Arial" w:cs="Arial"/>
                <w:b/>
                <w:bCs/>
              </w:rPr>
            </w:pPr>
            <w:r w:rsidRPr="00181C0F">
              <w:rPr>
                <w:rFonts w:ascii="Arial" w:hAnsi="Arial" w:cs="Arial"/>
                <w:b/>
                <w:bCs/>
              </w:rPr>
              <w:t>Refer for advice if criteria in one or more columns met</w:t>
            </w:r>
          </w:p>
        </w:tc>
      </w:tr>
      <w:tr w:rsidR="004D1033" w14:paraId="7165407A" w14:textId="77777777" w:rsidTr="009D7CD1">
        <w:trPr>
          <w:jc w:val="center"/>
        </w:trPr>
        <w:tc>
          <w:tcPr>
            <w:tcW w:w="1682" w:type="dxa"/>
            <w:shd w:val="clear" w:color="auto" w:fill="BFBFBF" w:themeFill="background1" w:themeFillShade="BF"/>
          </w:tcPr>
          <w:p w14:paraId="11960DA0" w14:textId="77777777" w:rsidR="004D1033" w:rsidRPr="00181C0F" w:rsidRDefault="004D1033" w:rsidP="009D7CD1">
            <w:pPr>
              <w:rPr>
                <w:rFonts w:ascii="Arial" w:hAnsi="Arial" w:cs="Arial"/>
              </w:rPr>
            </w:pPr>
            <w:r w:rsidRPr="00181C0F">
              <w:rPr>
                <w:rFonts w:ascii="Arial" w:hAnsi="Arial" w:cs="Arial"/>
              </w:rPr>
              <w:t xml:space="preserve">one relative (FD) </w:t>
            </w:r>
          </w:p>
        </w:tc>
        <w:tc>
          <w:tcPr>
            <w:tcW w:w="1693" w:type="dxa"/>
            <w:shd w:val="clear" w:color="auto" w:fill="BFBFBF" w:themeFill="background1" w:themeFillShade="BF"/>
          </w:tcPr>
          <w:p w14:paraId="44956DF2" w14:textId="77777777" w:rsidR="004D1033" w:rsidRPr="00181C0F" w:rsidRDefault="004D1033" w:rsidP="009D7CD1">
            <w:pPr>
              <w:rPr>
                <w:rFonts w:ascii="Arial" w:hAnsi="Arial" w:cs="Arial"/>
              </w:rPr>
            </w:pPr>
            <w:r w:rsidRPr="00181C0F">
              <w:rPr>
                <w:rFonts w:ascii="Arial" w:hAnsi="Arial" w:cs="Arial"/>
              </w:rPr>
              <w:t>Two relatives (FD or SD)</w:t>
            </w:r>
          </w:p>
        </w:tc>
        <w:tc>
          <w:tcPr>
            <w:tcW w:w="3566" w:type="dxa"/>
            <w:gridSpan w:val="2"/>
            <w:shd w:val="clear" w:color="auto" w:fill="BFBFBF" w:themeFill="background1" w:themeFillShade="BF"/>
          </w:tcPr>
          <w:p w14:paraId="33A7A6F2" w14:textId="77777777" w:rsidR="004D1033" w:rsidRPr="00181C0F" w:rsidRDefault="004D1033" w:rsidP="009D7CD1">
            <w:pPr>
              <w:rPr>
                <w:rFonts w:ascii="Arial" w:hAnsi="Arial" w:cs="Arial"/>
              </w:rPr>
            </w:pPr>
            <w:r w:rsidRPr="00181C0F">
              <w:rPr>
                <w:rFonts w:ascii="Arial" w:hAnsi="Arial" w:cs="Arial"/>
              </w:rPr>
              <w:t>Three relatives (FD or SD)</w:t>
            </w:r>
          </w:p>
        </w:tc>
        <w:tc>
          <w:tcPr>
            <w:tcW w:w="5954" w:type="dxa"/>
            <w:gridSpan w:val="2"/>
            <w:shd w:val="clear" w:color="auto" w:fill="BFBFBF" w:themeFill="background1" w:themeFillShade="BF"/>
          </w:tcPr>
          <w:p w14:paraId="41BC5713" w14:textId="77777777" w:rsidR="004D1033" w:rsidRPr="00181C0F" w:rsidRDefault="004D1033" w:rsidP="009D7CD1">
            <w:pPr>
              <w:rPr>
                <w:rFonts w:ascii="Arial" w:hAnsi="Arial" w:cs="Arial"/>
              </w:rPr>
            </w:pPr>
            <w:r w:rsidRPr="00181C0F">
              <w:rPr>
                <w:rFonts w:ascii="Arial" w:hAnsi="Arial" w:cs="Arial"/>
              </w:rPr>
              <w:t xml:space="preserve">Any FD or SD FH of breast cancer </w:t>
            </w:r>
            <w:r w:rsidRPr="00181C0F">
              <w:rPr>
                <w:rFonts w:ascii="Arial" w:hAnsi="Arial" w:cs="Arial"/>
                <w:b/>
                <w:bCs/>
              </w:rPr>
              <w:t>PLUS</w:t>
            </w:r>
            <w:r w:rsidRPr="00181C0F">
              <w:rPr>
                <w:rFonts w:ascii="Arial" w:hAnsi="Arial" w:cs="Arial"/>
              </w:rPr>
              <w:t xml:space="preserve"> FH of any of</w:t>
            </w:r>
          </w:p>
        </w:tc>
      </w:tr>
      <w:tr w:rsidR="004D1033" w14:paraId="74A0B7FF" w14:textId="77777777" w:rsidTr="009D7CD1">
        <w:trPr>
          <w:trHeight w:val="1311"/>
          <w:jc w:val="center"/>
        </w:trPr>
        <w:tc>
          <w:tcPr>
            <w:tcW w:w="1682" w:type="dxa"/>
          </w:tcPr>
          <w:p w14:paraId="54677A96" w14:textId="77777777" w:rsidR="004D1033" w:rsidRPr="00181C0F" w:rsidRDefault="004D1033" w:rsidP="009D7CD1">
            <w:pPr>
              <w:rPr>
                <w:rFonts w:ascii="Arial" w:hAnsi="Arial" w:cs="Arial"/>
              </w:rPr>
            </w:pPr>
          </w:p>
          <w:p w14:paraId="20D6A67C" w14:textId="17119CE3" w:rsidR="004D1033" w:rsidRPr="00181C0F" w:rsidRDefault="004D1033" w:rsidP="009D7CD1">
            <w:pPr>
              <w:rPr>
                <w:rFonts w:ascii="Arial" w:hAnsi="Arial" w:cs="Arial"/>
              </w:rPr>
            </w:pPr>
            <w:r w:rsidRPr="00181C0F">
              <w:rPr>
                <w:rFonts w:ascii="Arial" w:hAnsi="Arial" w:cs="Arial"/>
              </w:rPr>
              <w:t xml:space="preserve">Female breast cancer </w:t>
            </w:r>
            <w:r w:rsidR="00181C0F" w:rsidRPr="00181C0F">
              <w:rPr>
                <w:rFonts w:ascii="Arial" w:hAnsi="Arial" w:cs="Arial"/>
              </w:rPr>
              <w:t>under</w:t>
            </w:r>
            <w:r w:rsidR="00181C0F">
              <w:rPr>
                <w:rFonts w:ascii="Arial" w:hAnsi="Arial" w:cs="Arial"/>
              </w:rPr>
              <w:t xml:space="preserve"> </w:t>
            </w:r>
            <w:r w:rsidR="00181C0F" w:rsidRPr="00181C0F">
              <w:rPr>
                <w:rFonts w:ascii="Arial" w:hAnsi="Arial" w:cs="Arial"/>
              </w:rPr>
              <w:t>age</w:t>
            </w:r>
            <w:r w:rsidRPr="00181C0F">
              <w:rPr>
                <w:rFonts w:ascii="Arial" w:hAnsi="Arial" w:cs="Arial"/>
              </w:rPr>
              <w:t xml:space="preserve"> 40</w:t>
            </w:r>
          </w:p>
        </w:tc>
        <w:tc>
          <w:tcPr>
            <w:tcW w:w="1693" w:type="dxa"/>
          </w:tcPr>
          <w:p w14:paraId="65BD9C4A" w14:textId="77777777" w:rsidR="004D1033" w:rsidRPr="00181C0F" w:rsidRDefault="004D1033" w:rsidP="009D7CD1">
            <w:pPr>
              <w:rPr>
                <w:rFonts w:ascii="Arial" w:hAnsi="Arial" w:cs="Arial"/>
              </w:rPr>
            </w:pPr>
          </w:p>
          <w:p w14:paraId="3621BA65" w14:textId="77777777" w:rsidR="004D1033" w:rsidRPr="00181C0F" w:rsidRDefault="004D1033" w:rsidP="009D7CD1">
            <w:pPr>
              <w:rPr>
                <w:rFonts w:ascii="Arial" w:hAnsi="Arial" w:cs="Arial"/>
              </w:rPr>
            </w:pPr>
            <w:r w:rsidRPr="00181C0F">
              <w:rPr>
                <w:rFonts w:ascii="Arial" w:hAnsi="Arial" w:cs="Arial"/>
              </w:rPr>
              <w:t>Breast cancer at any age (</w:t>
            </w:r>
            <w:r w:rsidRPr="00181C0F">
              <w:rPr>
                <w:rFonts w:ascii="Arial" w:hAnsi="Arial" w:cs="Arial"/>
                <w:b/>
                <w:bCs/>
              </w:rPr>
              <w:t>at least one FD</w:t>
            </w:r>
            <w:r w:rsidRPr="00181C0F">
              <w:rPr>
                <w:rFonts w:ascii="Arial" w:hAnsi="Arial" w:cs="Arial"/>
              </w:rPr>
              <w:t>)</w:t>
            </w:r>
          </w:p>
          <w:p w14:paraId="46F883AA" w14:textId="77777777" w:rsidR="004D1033" w:rsidRPr="00181C0F" w:rsidRDefault="004D1033" w:rsidP="009D7CD1">
            <w:pPr>
              <w:rPr>
                <w:rFonts w:ascii="Arial" w:hAnsi="Arial" w:cs="Arial"/>
              </w:rPr>
            </w:pPr>
          </w:p>
        </w:tc>
        <w:tc>
          <w:tcPr>
            <w:tcW w:w="3566" w:type="dxa"/>
            <w:gridSpan w:val="2"/>
            <w:vMerge w:val="restart"/>
            <w:vAlign w:val="center"/>
          </w:tcPr>
          <w:p w14:paraId="46DFFBD5" w14:textId="77777777" w:rsidR="004D1033" w:rsidRPr="00181C0F" w:rsidRDefault="004D1033" w:rsidP="009D7CD1">
            <w:pPr>
              <w:rPr>
                <w:rFonts w:ascii="Arial" w:hAnsi="Arial" w:cs="Arial"/>
              </w:rPr>
            </w:pPr>
            <w:r w:rsidRPr="00181C0F">
              <w:rPr>
                <w:rFonts w:ascii="Arial" w:hAnsi="Arial" w:cs="Arial"/>
              </w:rPr>
              <w:t>Breast cancer at any age</w:t>
            </w:r>
          </w:p>
        </w:tc>
        <w:tc>
          <w:tcPr>
            <w:tcW w:w="5954" w:type="dxa"/>
            <w:gridSpan w:val="2"/>
            <w:vMerge w:val="restart"/>
            <w:vAlign w:val="center"/>
          </w:tcPr>
          <w:p w14:paraId="19CCE383"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Bilateral Breast Cancer</w:t>
            </w:r>
          </w:p>
          <w:p w14:paraId="6440D6DA"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Male Breast Cancer</w:t>
            </w:r>
          </w:p>
          <w:p w14:paraId="267F673A"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Ovarian Cancer</w:t>
            </w:r>
          </w:p>
          <w:p w14:paraId="00A7E37B"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Jewish Ancestry</w:t>
            </w:r>
          </w:p>
          <w:p w14:paraId="43CE9D21"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Sarcoma in a relative younger than 45</w:t>
            </w:r>
          </w:p>
          <w:p w14:paraId="686EE4B6"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Glioma or childhood adrenal cortical carcinoma</w:t>
            </w:r>
          </w:p>
          <w:p w14:paraId="01490ABD"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Complex pattern of multiple cancers at young age</w:t>
            </w:r>
          </w:p>
          <w:p w14:paraId="6A2DA85C" w14:textId="77777777" w:rsidR="004D1033" w:rsidRPr="00181C0F" w:rsidRDefault="004D1033" w:rsidP="009D7CD1">
            <w:pPr>
              <w:pStyle w:val="ListParagraph"/>
              <w:numPr>
                <w:ilvl w:val="0"/>
                <w:numId w:val="1"/>
              </w:numPr>
              <w:rPr>
                <w:rFonts w:cs="Arial"/>
                <w:sz w:val="20"/>
                <w:szCs w:val="20"/>
              </w:rPr>
            </w:pPr>
            <w:r w:rsidRPr="00181C0F">
              <w:rPr>
                <w:rFonts w:cs="Arial"/>
                <w:sz w:val="20"/>
                <w:szCs w:val="20"/>
              </w:rPr>
              <w:t xml:space="preserve">2 or more relatives in paternal family with breast cancer </w:t>
            </w:r>
          </w:p>
        </w:tc>
      </w:tr>
      <w:tr w:rsidR="004D1033" w14:paraId="0CADD65F" w14:textId="77777777" w:rsidTr="009D7CD1">
        <w:trPr>
          <w:jc w:val="center"/>
        </w:trPr>
        <w:tc>
          <w:tcPr>
            <w:tcW w:w="1682" w:type="dxa"/>
          </w:tcPr>
          <w:p w14:paraId="54BFB07D" w14:textId="77777777" w:rsidR="004D1033" w:rsidRPr="00181C0F" w:rsidRDefault="004D1033" w:rsidP="009D7CD1">
            <w:pPr>
              <w:rPr>
                <w:rFonts w:ascii="Arial" w:hAnsi="Arial" w:cs="Arial"/>
              </w:rPr>
            </w:pPr>
          </w:p>
          <w:p w14:paraId="58E2992E" w14:textId="77777777" w:rsidR="004D1033" w:rsidRPr="00181C0F" w:rsidRDefault="004D1033" w:rsidP="009D7CD1">
            <w:pPr>
              <w:rPr>
                <w:rFonts w:ascii="Arial" w:hAnsi="Arial" w:cs="Arial"/>
              </w:rPr>
            </w:pPr>
            <w:r w:rsidRPr="00181C0F">
              <w:rPr>
                <w:rFonts w:ascii="Arial" w:hAnsi="Arial" w:cs="Arial"/>
              </w:rPr>
              <w:t>Male breast cancer any age</w:t>
            </w:r>
          </w:p>
          <w:p w14:paraId="081B5786" w14:textId="77777777" w:rsidR="004D1033" w:rsidRPr="00181C0F" w:rsidRDefault="004D1033" w:rsidP="009D7CD1">
            <w:pPr>
              <w:rPr>
                <w:rFonts w:ascii="Arial" w:hAnsi="Arial" w:cs="Arial"/>
              </w:rPr>
            </w:pPr>
          </w:p>
        </w:tc>
        <w:tc>
          <w:tcPr>
            <w:tcW w:w="1693" w:type="dxa"/>
            <w:vMerge w:val="restart"/>
            <w:vAlign w:val="center"/>
          </w:tcPr>
          <w:p w14:paraId="1BF9730B" w14:textId="77777777" w:rsidR="004D1033" w:rsidRPr="00181C0F" w:rsidRDefault="004D1033" w:rsidP="009D7CD1">
            <w:pPr>
              <w:rPr>
                <w:rFonts w:ascii="Arial" w:hAnsi="Arial" w:cs="Arial"/>
              </w:rPr>
            </w:pPr>
            <w:r w:rsidRPr="00181C0F">
              <w:rPr>
                <w:rFonts w:ascii="Arial" w:hAnsi="Arial" w:cs="Arial"/>
              </w:rPr>
              <w:t>One each of breast and ovarian cancer</w:t>
            </w:r>
          </w:p>
        </w:tc>
        <w:tc>
          <w:tcPr>
            <w:tcW w:w="3566" w:type="dxa"/>
            <w:gridSpan w:val="2"/>
            <w:vMerge/>
          </w:tcPr>
          <w:p w14:paraId="4BBF2BC9" w14:textId="77777777" w:rsidR="004D1033" w:rsidRPr="00181C0F" w:rsidRDefault="004D1033" w:rsidP="009D7CD1">
            <w:pPr>
              <w:rPr>
                <w:rFonts w:ascii="Arial" w:hAnsi="Arial" w:cs="Arial"/>
              </w:rPr>
            </w:pPr>
          </w:p>
        </w:tc>
        <w:tc>
          <w:tcPr>
            <w:tcW w:w="5954" w:type="dxa"/>
            <w:gridSpan w:val="2"/>
            <w:vMerge/>
          </w:tcPr>
          <w:p w14:paraId="7FFFA019" w14:textId="77777777" w:rsidR="004D1033" w:rsidRPr="00181C0F" w:rsidRDefault="004D1033" w:rsidP="009D7CD1">
            <w:pPr>
              <w:rPr>
                <w:rFonts w:ascii="Arial" w:hAnsi="Arial" w:cs="Arial"/>
              </w:rPr>
            </w:pPr>
          </w:p>
        </w:tc>
      </w:tr>
      <w:tr w:rsidR="004D1033" w14:paraId="7D51A3B1" w14:textId="77777777" w:rsidTr="009D7CD1">
        <w:trPr>
          <w:jc w:val="center"/>
        </w:trPr>
        <w:tc>
          <w:tcPr>
            <w:tcW w:w="1682" w:type="dxa"/>
          </w:tcPr>
          <w:p w14:paraId="0405B496" w14:textId="77777777" w:rsidR="004D1033" w:rsidRPr="00181C0F" w:rsidRDefault="004D1033" w:rsidP="009D7CD1">
            <w:pPr>
              <w:rPr>
                <w:rFonts w:ascii="Arial" w:hAnsi="Arial" w:cs="Arial"/>
              </w:rPr>
            </w:pPr>
          </w:p>
          <w:p w14:paraId="69ED8933" w14:textId="77777777" w:rsidR="004D1033" w:rsidRPr="00181C0F" w:rsidRDefault="004D1033" w:rsidP="009D7CD1">
            <w:pPr>
              <w:rPr>
                <w:rFonts w:ascii="Arial" w:hAnsi="Arial" w:cs="Arial"/>
              </w:rPr>
            </w:pPr>
            <w:r w:rsidRPr="00181C0F">
              <w:rPr>
                <w:rFonts w:ascii="Arial" w:hAnsi="Arial" w:cs="Arial"/>
              </w:rPr>
              <w:t>Bilateral breast cancer under age 50</w:t>
            </w:r>
          </w:p>
          <w:p w14:paraId="58B557E5" w14:textId="77777777" w:rsidR="004D1033" w:rsidRPr="00181C0F" w:rsidRDefault="004D1033" w:rsidP="009D7CD1">
            <w:pPr>
              <w:rPr>
                <w:rFonts w:ascii="Arial" w:hAnsi="Arial" w:cs="Arial"/>
              </w:rPr>
            </w:pPr>
          </w:p>
        </w:tc>
        <w:tc>
          <w:tcPr>
            <w:tcW w:w="1693" w:type="dxa"/>
            <w:vMerge/>
          </w:tcPr>
          <w:p w14:paraId="3FF9DB63" w14:textId="77777777" w:rsidR="004D1033" w:rsidRPr="00181C0F" w:rsidRDefault="004D1033" w:rsidP="009D7CD1">
            <w:pPr>
              <w:rPr>
                <w:rFonts w:ascii="Arial" w:hAnsi="Arial" w:cs="Arial"/>
              </w:rPr>
            </w:pPr>
          </w:p>
        </w:tc>
        <w:tc>
          <w:tcPr>
            <w:tcW w:w="3566" w:type="dxa"/>
            <w:gridSpan w:val="2"/>
            <w:vMerge/>
          </w:tcPr>
          <w:p w14:paraId="6F622DB8" w14:textId="77777777" w:rsidR="004D1033" w:rsidRPr="00181C0F" w:rsidRDefault="004D1033" w:rsidP="009D7CD1">
            <w:pPr>
              <w:rPr>
                <w:rFonts w:ascii="Arial" w:hAnsi="Arial" w:cs="Arial"/>
              </w:rPr>
            </w:pPr>
          </w:p>
        </w:tc>
        <w:tc>
          <w:tcPr>
            <w:tcW w:w="5954" w:type="dxa"/>
            <w:gridSpan w:val="2"/>
            <w:vMerge/>
          </w:tcPr>
          <w:p w14:paraId="2480D3FF" w14:textId="77777777" w:rsidR="004D1033" w:rsidRPr="00181C0F" w:rsidRDefault="004D1033" w:rsidP="009D7CD1">
            <w:pPr>
              <w:rPr>
                <w:rFonts w:ascii="Arial" w:hAnsi="Arial" w:cs="Arial"/>
              </w:rPr>
            </w:pPr>
          </w:p>
        </w:tc>
      </w:tr>
      <w:tr w:rsidR="004D1033" w14:paraId="301915F2" w14:textId="77777777" w:rsidTr="009D7CD1">
        <w:trPr>
          <w:jc w:val="center"/>
        </w:trPr>
        <w:tc>
          <w:tcPr>
            <w:tcW w:w="4298" w:type="dxa"/>
            <w:gridSpan w:val="3"/>
            <w:shd w:val="clear" w:color="auto" w:fill="D9D9D9" w:themeFill="background1" w:themeFillShade="D9"/>
            <w:vAlign w:val="center"/>
          </w:tcPr>
          <w:p w14:paraId="4001B722" w14:textId="77777777" w:rsidR="004D1033" w:rsidRPr="00181C0F" w:rsidRDefault="004D1033" w:rsidP="009D7CD1">
            <w:pPr>
              <w:jc w:val="center"/>
              <w:rPr>
                <w:rFonts w:ascii="Arial" w:hAnsi="Arial" w:cs="Arial"/>
                <w:b/>
                <w:bCs/>
              </w:rPr>
            </w:pPr>
          </w:p>
          <w:p w14:paraId="1CDB7AAE" w14:textId="77777777" w:rsidR="004D1033" w:rsidRPr="00181C0F" w:rsidRDefault="004D1033" w:rsidP="009D7CD1">
            <w:pPr>
              <w:jc w:val="center"/>
              <w:rPr>
                <w:rFonts w:ascii="Arial" w:hAnsi="Arial" w:cs="Arial"/>
                <w:b/>
                <w:bCs/>
              </w:rPr>
            </w:pPr>
            <w:r w:rsidRPr="00181C0F">
              <w:rPr>
                <w:rFonts w:ascii="Arial" w:hAnsi="Arial" w:cs="Arial"/>
                <w:b/>
                <w:bCs/>
              </w:rPr>
              <w:t>FD = First Degree</w:t>
            </w:r>
          </w:p>
          <w:p w14:paraId="2AFE2B32" w14:textId="77777777" w:rsidR="004D1033" w:rsidRPr="00181C0F" w:rsidRDefault="004D1033" w:rsidP="009D7CD1">
            <w:pPr>
              <w:jc w:val="center"/>
              <w:rPr>
                <w:rFonts w:ascii="Arial" w:hAnsi="Arial" w:cs="Arial"/>
                <w:b/>
                <w:bCs/>
              </w:rPr>
            </w:pPr>
          </w:p>
        </w:tc>
        <w:tc>
          <w:tcPr>
            <w:tcW w:w="4298" w:type="dxa"/>
            <w:gridSpan w:val="2"/>
            <w:shd w:val="clear" w:color="auto" w:fill="D9D9D9" w:themeFill="background1" w:themeFillShade="D9"/>
            <w:vAlign w:val="center"/>
          </w:tcPr>
          <w:p w14:paraId="73CBE9AA" w14:textId="77777777" w:rsidR="004D1033" w:rsidRPr="00181C0F" w:rsidRDefault="004D1033" w:rsidP="009D7CD1">
            <w:pPr>
              <w:jc w:val="center"/>
              <w:rPr>
                <w:rFonts w:ascii="Arial" w:hAnsi="Arial" w:cs="Arial"/>
                <w:b/>
                <w:bCs/>
              </w:rPr>
            </w:pPr>
          </w:p>
          <w:p w14:paraId="70D00A0D" w14:textId="77777777" w:rsidR="004D1033" w:rsidRPr="00181C0F" w:rsidRDefault="004D1033" w:rsidP="009D7CD1">
            <w:pPr>
              <w:jc w:val="center"/>
              <w:rPr>
                <w:rFonts w:ascii="Arial" w:hAnsi="Arial" w:cs="Arial"/>
                <w:b/>
                <w:bCs/>
              </w:rPr>
            </w:pPr>
            <w:r w:rsidRPr="00181C0F">
              <w:rPr>
                <w:rFonts w:ascii="Arial" w:hAnsi="Arial" w:cs="Arial"/>
                <w:b/>
                <w:bCs/>
              </w:rPr>
              <w:t>SD = Second Degree</w:t>
            </w:r>
          </w:p>
          <w:p w14:paraId="781E991E" w14:textId="77777777" w:rsidR="004D1033" w:rsidRPr="00181C0F" w:rsidRDefault="004D1033" w:rsidP="009D7CD1">
            <w:pPr>
              <w:jc w:val="center"/>
              <w:rPr>
                <w:rFonts w:ascii="Arial" w:hAnsi="Arial" w:cs="Arial"/>
                <w:b/>
                <w:bCs/>
              </w:rPr>
            </w:pPr>
          </w:p>
        </w:tc>
        <w:tc>
          <w:tcPr>
            <w:tcW w:w="4299" w:type="dxa"/>
            <w:shd w:val="clear" w:color="auto" w:fill="D9D9D9" w:themeFill="background1" w:themeFillShade="D9"/>
            <w:vAlign w:val="center"/>
          </w:tcPr>
          <w:p w14:paraId="48E5129A" w14:textId="77777777" w:rsidR="004D1033" w:rsidRPr="00181C0F" w:rsidRDefault="004D1033" w:rsidP="009D7CD1">
            <w:pPr>
              <w:jc w:val="center"/>
              <w:rPr>
                <w:rFonts w:ascii="Arial" w:hAnsi="Arial" w:cs="Arial"/>
                <w:b/>
                <w:bCs/>
              </w:rPr>
            </w:pPr>
          </w:p>
          <w:p w14:paraId="17077DC8" w14:textId="77777777" w:rsidR="004D1033" w:rsidRPr="00181C0F" w:rsidRDefault="004D1033" w:rsidP="009D7CD1">
            <w:pPr>
              <w:jc w:val="center"/>
              <w:rPr>
                <w:rFonts w:ascii="Arial" w:hAnsi="Arial" w:cs="Arial"/>
                <w:b/>
                <w:bCs/>
              </w:rPr>
            </w:pPr>
            <w:r w:rsidRPr="00181C0F">
              <w:rPr>
                <w:rFonts w:ascii="Arial" w:hAnsi="Arial" w:cs="Arial"/>
                <w:b/>
                <w:bCs/>
              </w:rPr>
              <w:t>FH = Family History</w:t>
            </w:r>
          </w:p>
          <w:p w14:paraId="15712159" w14:textId="77777777" w:rsidR="004D1033" w:rsidRPr="00181C0F" w:rsidRDefault="004D1033" w:rsidP="009D7CD1">
            <w:pPr>
              <w:jc w:val="center"/>
              <w:rPr>
                <w:rFonts w:ascii="Arial" w:hAnsi="Arial" w:cs="Arial"/>
                <w:b/>
                <w:bCs/>
              </w:rPr>
            </w:pPr>
          </w:p>
        </w:tc>
      </w:tr>
    </w:tbl>
    <w:p w14:paraId="20A88E76" w14:textId="77777777" w:rsidR="004D1033" w:rsidRDefault="004D1033"/>
    <w:p w14:paraId="0B61D2EB" w14:textId="47F0589D" w:rsidR="004D1033" w:rsidRPr="00181C0F" w:rsidRDefault="004D1033">
      <w:pPr>
        <w:rPr>
          <w:rFonts w:ascii="Arial" w:hAnsi="Arial" w:cs="Arial"/>
        </w:rPr>
      </w:pPr>
      <w:r w:rsidRPr="00181C0F">
        <w:rPr>
          <w:rFonts w:ascii="Arial" w:hAnsi="Arial" w:cs="Arial"/>
          <w:b/>
          <w:bCs/>
        </w:rPr>
        <w:t>For patients under age 60</w:t>
      </w:r>
      <w:r w:rsidRPr="00181C0F">
        <w:rPr>
          <w:rFonts w:ascii="Arial" w:hAnsi="Arial" w:cs="Arial"/>
        </w:rPr>
        <w:t xml:space="preserve"> </w:t>
      </w:r>
      <w:r w:rsidR="00D61CF8" w:rsidRPr="00181C0F">
        <w:rPr>
          <w:rFonts w:ascii="Arial" w:hAnsi="Arial" w:cs="Arial"/>
        </w:rPr>
        <w:t xml:space="preserve">- </w:t>
      </w:r>
      <w:r w:rsidRPr="00181C0F">
        <w:rPr>
          <w:rFonts w:ascii="Arial" w:hAnsi="Arial" w:cs="Arial"/>
        </w:rPr>
        <w:t>we will carry out a risk assessment as we have always done, advising whether any additional screening is indicated</w:t>
      </w:r>
      <w:r w:rsidR="00D61CF8" w:rsidRPr="00181C0F">
        <w:rPr>
          <w:rFonts w:ascii="Arial" w:hAnsi="Arial" w:cs="Arial"/>
        </w:rPr>
        <w:t xml:space="preserve"> (</w:t>
      </w:r>
      <w:r w:rsidR="00F56167" w:rsidRPr="00181C0F">
        <w:rPr>
          <w:rFonts w:ascii="Arial" w:hAnsi="Arial" w:cs="Arial"/>
        </w:rPr>
        <w:t xml:space="preserve">annual </w:t>
      </w:r>
      <w:r w:rsidR="00D61CF8" w:rsidRPr="00181C0F">
        <w:rPr>
          <w:rFonts w:ascii="Arial" w:hAnsi="Arial" w:cs="Arial"/>
        </w:rPr>
        <w:t xml:space="preserve">screening may be offered up to age </w:t>
      </w:r>
      <w:r w:rsidR="00F56167" w:rsidRPr="00181C0F">
        <w:rPr>
          <w:rFonts w:ascii="Arial" w:hAnsi="Arial" w:cs="Arial"/>
        </w:rPr>
        <w:t xml:space="preserve">49 </w:t>
      </w:r>
      <w:r w:rsidR="00D61CF8" w:rsidRPr="00181C0F">
        <w:rPr>
          <w:rFonts w:ascii="Arial" w:hAnsi="Arial" w:cs="Arial"/>
        </w:rPr>
        <w:t xml:space="preserve">or </w:t>
      </w:r>
      <w:r w:rsidR="00F56167" w:rsidRPr="00181C0F">
        <w:rPr>
          <w:rFonts w:ascii="Arial" w:hAnsi="Arial" w:cs="Arial"/>
        </w:rPr>
        <w:t>59</w:t>
      </w:r>
      <w:r w:rsidR="00D61CF8" w:rsidRPr="00181C0F">
        <w:rPr>
          <w:rFonts w:ascii="Arial" w:hAnsi="Arial" w:cs="Arial"/>
        </w:rPr>
        <w:t xml:space="preserve"> depending</w:t>
      </w:r>
      <w:r w:rsidR="00F56167" w:rsidRPr="00181C0F">
        <w:rPr>
          <w:rFonts w:ascii="Arial" w:hAnsi="Arial" w:cs="Arial"/>
        </w:rPr>
        <w:t xml:space="preserve"> on risk assessment)</w:t>
      </w:r>
      <w:r w:rsidRPr="00181C0F">
        <w:rPr>
          <w:rFonts w:ascii="Arial" w:hAnsi="Arial" w:cs="Arial"/>
        </w:rPr>
        <w:t>, and also advising whether the patient may be eligible to consider the use of chemoprevention. These patients will be sent the appropriate NICE decision making Aid and Information leaflet</w:t>
      </w:r>
      <w:r w:rsidR="00D61CF8" w:rsidRPr="00181C0F">
        <w:rPr>
          <w:rFonts w:ascii="Arial" w:hAnsi="Arial" w:cs="Arial"/>
        </w:rPr>
        <w:t>.</w:t>
      </w:r>
    </w:p>
    <w:p w14:paraId="6B5D3D42" w14:textId="77777777" w:rsidR="00D61CF8" w:rsidRPr="00181C0F" w:rsidRDefault="00D61CF8">
      <w:pPr>
        <w:rPr>
          <w:rFonts w:ascii="Arial" w:hAnsi="Arial" w:cs="Arial"/>
        </w:rPr>
      </w:pPr>
    </w:p>
    <w:p w14:paraId="7DED0FEB" w14:textId="77777777" w:rsidR="009A5E1A" w:rsidRDefault="009A5E1A">
      <w:pPr>
        <w:rPr>
          <w:rFonts w:ascii="Arial" w:hAnsi="Arial" w:cs="Arial"/>
          <w:b/>
          <w:bCs/>
        </w:rPr>
      </w:pPr>
    </w:p>
    <w:p w14:paraId="7B97852E" w14:textId="55A389DF" w:rsidR="00D61CF8" w:rsidRPr="00181C0F" w:rsidRDefault="00D61CF8">
      <w:pPr>
        <w:rPr>
          <w:rFonts w:ascii="Arial" w:hAnsi="Arial" w:cs="Arial"/>
        </w:rPr>
      </w:pPr>
      <w:r w:rsidRPr="00181C0F">
        <w:rPr>
          <w:rFonts w:ascii="Arial" w:hAnsi="Arial" w:cs="Arial"/>
          <w:b/>
          <w:bCs/>
        </w:rPr>
        <w:lastRenderedPageBreak/>
        <w:t xml:space="preserve">For patients </w:t>
      </w:r>
      <w:r w:rsidR="00F56167" w:rsidRPr="00181C0F">
        <w:rPr>
          <w:rFonts w:ascii="Arial" w:hAnsi="Arial" w:cs="Arial"/>
          <w:b/>
          <w:bCs/>
        </w:rPr>
        <w:t>ov</w:t>
      </w:r>
      <w:r w:rsidRPr="00181C0F">
        <w:rPr>
          <w:rFonts w:ascii="Arial" w:hAnsi="Arial" w:cs="Arial"/>
          <w:b/>
          <w:bCs/>
        </w:rPr>
        <w:t>er 60</w:t>
      </w:r>
      <w:r w:rsidR="00F56167" w:rsidRPr="00181C0F">
        <w:rPr>
          <w:rFonts w:ascii="Arial" w:hAnsi="Arial" w:cs="Arial"/>
          <w:b/>
          <w:bCs/>
        </w:rPr>
        <w:t xml:space="preserve"> </w:t>
      </w:r>
      <w:r w:rsidR="00F56167" w:rsidRPr="00181C0F">
        <w:rPr>
          <w:rFonts w:ascii="Arial" w:hAnsi="Arial" w:cs="Arial"/>
        </w:rPr>
        <w:t>with no previously identified gene mutation</w:t>
      </w:r>
      <w:r w:rsidR="00F56167" w:rsidRPr="00181C0F">
        <w:rPr>
          <w:rFonts w:ascii="Arial" w:hAnsi="Arial" w:cs="Arial"/>
          <w:b/>
          <w:bCs/>
        </w:rPr>
        <w:t xml:space="preserve">, </w:t>
      </w:r>
      <w:r w:rsidR="00F56167" w:rsidRPr="00181C0F">
        <w:rPr>
          <w:rFonts w:ascii="Arial" w:hAnsi="Arial" w:cs="Arial"/>
        </w:rPr>
        <w:t>no additional screening is indicated but we will carry out a risk assessment and advise whether the patient is eligible for anastrozole.</w:t>
      </w:r>
    </w:p>
    <w:p w14:paraId="33AFB2FC" w14:textId="77777777" w:rsidR="00F56167" w:rsidRPr="00181C0F" w:rsidRDefault="00F56167">
      <w:pPr>
        <w:rPr>
          <w:rFonts w:ascii="Arial" w:hAnsi="Arial" w:cs="Arial"/>
        </w:rPr>
      </w:pPr>
    </w:p>
    <w:p w14:paraId="122755F0" w14:textId="3152DBC4" w:rsidR="00F56167" w:rsidRPr="00181C0F" w:rsidRDefault="00F56167" w:rsidP="00F56167">
      <w:pPr>
        <w:rPr>
          <w:rFonts w:ascii="Arial" w:hAnsi="Arial" w:cs="Arial"/>
        </w:rPr>
      </w:pPr>
      <w:r w:rsidRPr="00181C0F">
        <w:rPr>
          <w:rFonts w:ascii="Arial" w:hAnsi="Arial" w:cs="Arial"/>
        </w:rPr>
        <w:t>If the patient wishes to proceed with chemoprevention they will then need to discuss this with their GP, with a view to prescribing, taking into account comorbidities and other medications. GPs should be aware that if the patient wishes to commence Anastrozole they will need to request a DEXA scan as Anastrozole is contraindicated in severe osteoporosis. Dependant on the outcome of the DEXA scan, bone protection may be additionally advised.</w:t>
      </w:r>
    </w:p>
    <w:p w14:paraId="6C382140" w14:textId="77777777" w:rsidR="00F56167" w:rsidRPr="00181C0F" w:rsidRDefault="00F56167" w:rsidP="00F56167">
      <w:pPr>
        <w:rPr>
          <w:rFonts w:ascii="Arial" w:hAnsi="Arial" w:cs="Arial"/>
        </w:rPr>
      </w:pPr>
    </w:p>
    <w:p w14:paraId="4F1E7215" w14:textId="46753107" w:rsidR="00F56167" w:rsidRDefault="00F56167" w:rsidP="00F56167">
      <w:pPr>
        <w:rPr>
          <w:rFonts w:ascii="Arial" w:hAnsi="Arial" w:cs="Arial"/>
        </w:rPr>
      </w:pPr>
      <w:r w:rsidRPr="00181C0F">
        <w:rPr>
          <w:rFonts w:ascii="Arial" w:hAnsi="Arial" w:cs="Arial"/>
        </w:rPr>
        <w:t xml:space="preserve">We would like to highlight that this represents no change to the service previously offered to women under 60. We have not previously assessed women over 60 as they are not eligible for </w:t>
      </w:r>
      <w:r w:rsidR="009A5C77" w:rsidRPr="00181C0F">
        <w:rPr>
          <w:rFonts w:ascii="Arial" w:hAnsi="Arial" w:cs="Arial"/>
        </w:rPr>
        <w:t xml:space="preserve">additional </w:t>
      </w:r>
      <w:r w:rsidR="00181C0F" w:rsidRPr="00181C0F">
        <w:rPr>
          <w:rFonts w:ascii="Arial" w:hAnsi="Arial" w:cs="Arial"/>
        </w:rPr>
        <w:t>screening but</w:t>
      </w:r>
      <w:r w:rsidRPr="00181C0F">
        <w:rPr>
          <w:rFonts w:ascii="Arial" w:hAnsi="Arial" w:cs="Arial"/>
        </w:rPr>
        <w:t xml:space="preserve"> are now happy to do so with regards to advice about eligibility for chemoprevention</w:t>
      </w:r>
      <w:r w:rsidR="009A5C77" w:rsidRPr="00181C0F">
        <w:rPr>
          <w:rFonts w:ascii="Arial" w:hAnsi="Arial" w:cs="Arial"/>
        </w:rPr>
        <w:t>.</w:t>
      </w:r>
    </w:p>
    <w:p w14:paraId="3524BC42" w14:textId="77777777" w:rsidR="009A5E1A" w:rsidRDefault="009A5E1A" w:rsidP="00F56167">
      <w:pPr>
        <w:rPr>
          <w:rFonts w:ascii="Arial" w:hAnsi="Arial" w:cs="Arial"/>
        </w:rPr>
      </w:pPr>
    </w:p>
    <w:p w14:paraId="6D3A9E74" w14:textId="54554308" w:rsidR="009A5E1A" w:rsidRPr="00181C0F" w:rsidRDefault="009A5E1A" w:rsidP="00F56167">
      <w:pPr>
        <w:rPr>
          <w:rFonts w:ascii="Arial" w:hAnsi="Arial" w:cs="Arial"/>
        </w:rPr>
      </w:pPr>
      <w:r>
        <w:rPr>
          <w:rFonts w:ascii="Arial" w:hAnsi="Arial" w:cs="Arial"/>
        </w:rPr>
        <w:t>30 Nov 2023</w:t>
      </w:r>
    </w:p>
    <w:p w14:paraId="14EAE386" w14:textId="77777777" w:rsidR="00F56167" w:rsidRPr="00181C0F" w:rsidRDefault="00F56167">
      <w:pPr>
        <w:rPr>
          <w:rFonts w:ascii="Arial" w:hAnsi="Arial" w:cs="Arial"/>
          <w:b/>
          <w:bCs/>
        </w:rPr>
      </w:pPr>
    </w:p>
    <w:sectPr w:rsidR="00F56167" w:rsidRPr="00181C0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D669" w14:textId="77777777" w:rsidR="00AC09A2" w:rsidRDefault="00AC09A2" w:rsidP="00AC09A2">
      <w:pPr>
        <w:spacing w:after="0" w:line="240" w:lineRule="auto"/>
      </w:pPr>
      <w:r>
        <w:separator/>
      </w:r>
    </w:p>
  </w:endnote>
  <w:endnote w:type="continuationSeparator" w:id="0">
    <w:p w14:paraId="3A80725F" w14:textId="77777777" w:rsidR="00AC09A2" w:rsidRDefault="00AC09A2" w:rsidP="00AC0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30C7" w14:textId="2DE9BC88" w:rsidR="00AC09A2" w:rsidRDefault="00705B97">
    <w:pPr>
      <w:pStyle w:val="Footer"/>
    </w:pPr>
    <w:r>
      <w:rPr>
        <w:noProof/>
      </w:rPr>
      <w:drawing>
        <wp:anchor distT="0" distB="0" distL="114300" distR="114300" simplePos="0" relativeHeight="251659264" behindDoc="0" locked="0" layoutInCell="1" allowOverlap="0" wp14:anchorId="7AF26DEB" wp14:editId="0B3E8F34">
          <wp:simplePos x="0" y="0"/>
          <wp:positionH relativeFrom="page">
            <wp:align>right</wp:align>
          </wp:positionH>
          <wp:positionV relativeFrom="page">
            <wp:align>bottom</wp:align>
          </wp:positionV>
          <wp:extent cx="7543259" cy="1861820"/>
          <wp:effectExtent l="0" t="0" r="635"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259" cy="18618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6C3E8" w14:textId="77777777" w:rsidR="00AC09A2" w:rsidRDefault="00AC09A2" w:rsidP="00AC09A2">
      <w:pPr>
        <w:spacing w:after="0" w:line="240" w:lineRule="auto"/>
      </w:pPr>
      <w:r>
        <w:separator/>
      </w:r>
    </w:p>
  </w:footnote>
  <w:footnote w:type="continuationSeparator" w:id="0">
    <w:p w14:paraId="0DD991B5" w14:textId="77777777" w:rsidR="00AC09A2" w:rsidRDefault="00AC09A2" w:rsidP="00AC0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E793" w14:textId="089FECCC" w:rsidR="00AC09A2" w:rsidRDefault="00AC09A2" w:rsidP="00AC09A2">
    <w:pPr>
      <w:pStyle w:val="Header"/>
      <w:jc w:val="right"/>
    </w:pPr>
    <w:r>
      <w:rPr>
        <w:noProof/>
      </w:rPr>
      <w:drawing>
        <wp:inline distT="0" distB="0" distL="0" distR="0" wp14:anchorId="7A4C107E" wp14:editId="442F96FA">
          <wp:extent cx="1676400" cy="1077595"/>
          <wp:effectExtent l="0" t="0" r="0" b="0"/>
          <wp:docPr id="3" name="Picture 3" descr="NHS Cornwall and Isles of Scil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HS Cornwall and Isles of Scilly logo"/>
                  <pic:cNvPicPr/>
                </pic:nvPicPr>
                <pic:blipFill rotWithShape="1">
                  <a:blip r:embed="rId1">
                    <a:extLst>
                      <a:ext uri="{28A0092B-C50C-407E-A947-70E740481C1C}">
                        <a14:useLocalDpi xmlns:a14="http://schemas.microsoft.com/office/drawing/2010/main" val="0"/>
                      </a:ext>
                    </a:extLst>
                  </a:blip>
                  <a:srcRect t="19543" r="14489" b="10262"/>
                  <a:stretch/>
                </pic:blipFill>
                <pic:spPr bwMode="auto">
                  <a:xfrm>
                    <a:off x="0" y="0"/>
                    <a:ext cx="1692082" cy="10876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D13CB"/>
    <w:multiLevelType w:val="hybridMultilevel"/>
    <w:tmpl w:val="0E5E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87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EE"/>
    <w:rsid w:val="00181C0F"/>
    <w:rsid w:val="004D1033"/>
    <w:rsid w:val="00514B37"/>
    <w:rsid w:val="00543819"/>
    <w:rsid w:val="006732DE"/>
    <w:rsid w:val="00705B97"/>
    <w:rsid w:val="009A5C77"/>
    <w:rsid w:val="009A5E1A"/>
    <w:rsid w:val="00A6363C"/>
    <w:rsid w:val="00AC09A2"/>
    <w:rsid w:val="00BE692D"/>
    <w:rsid w:val="00C921EE"/>
    <w:rsid w:val="00CE118A"/>
    <w:rsid w:val="00D61CF8"/>
    <w:rsid w:val="00DF0003"/>
    <w:rsid w:val="00F56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9DB15"/>
  <w15:chartTrackingRefBased/>
  <w15:docId w15:val="{ED96BFF4-2F76-452A-B558-0648425B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033"/>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033"/>
    <w:pPr>
      <w:spacing w:after="0" w:line="240" w:lineRule="auto"/>
      <w:ind w:left="720"/>
      <w:contextualSpacing/>
    </w:pPr>
    <w:rPr>
      <w:rFonts w:ascii="Arial" w:eastAsia="Times New Roman" w:hAnsi="Arial" w:cs="Times New Roman"/>
      <w:kern w:val="0"/>
      <w:sz w:val="24"/>
      <w:szCs w:val="24"/>
      <w14:ligatures w14:val="none"/>
    </w:rPr>
  </w:style>
  <w:style w:type="paragraph" w:styleId="Header">
    <w:name w:val="header"/>
    <w:basedOn w:val="Normal"/>
    <w:link w:val="HeaderChar"/>
    <w:uiPriority w:val="99"/>
    <w:unhideWhenUsed/>
    <w:rsid w:val="00AC0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9A2"/>
  </w:style>
  <w:style w:type="paragraph" w:styleId="Footer">
    <w:name w:val="footer"/>
    <w:basedOn w:val="Normal"/>
    <w:link w:val="FooterChar"/>
    <w:uiPriority w:val="99"/>
    <w:unhideWhenUsed/>
    <w:rsid w:val="00AC0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9A2"/>
  </w:style>
  <w:style w:type="character" w:styleId="Hyperlink">
    <w:name w:val="Hyperlink"/>
    <w:basedOn w:val="DefaultParagraphFont"/>
    <w:uiPriority w:val="99"/>
    <w:unhideWhenUsed/>
    <w:rsid w:val="00543819"/>
    <w:rPr>
      <w:color w:val="0563C1" w:themeColor="hyperlink"/>
      <w:u w:val="single"/>
    </w:rPr>
  </w:style>
  <w:style w:type="character" w:styleId="UnresolvedMention">
    <w:name w:val="Unresolved Mention"/>
    <w:basedOn w:val="DefaultParagraphFont"/>
    <w:uiPriority w:val="99"/>
    <w:semiHidden/>
    <w:unhideWhenUsed/>
    <w:rsid w:val="0054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ice.org.uk/guidance/cg164?UID=109648324202311301817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THORPE, Eleanor (ROYAL CORNWALL HOSPITALS NHS TRUST)</dc:creator>
  <cp:keywords/>
  <dc:description/>
  <cp:lastModifiedBy>CAMPBELL, Heidi (NHS CORNWALL AND THE ISLES OF SCILLY ICB - 11N)</cp:lastModifiedBy>
  <cp:revision>4</cp:revision>
  <cp:lastPrinted>2023-11-14T17:06:00Z</cp:lastPrinted>
  <dcterms:created xsi:type="dcterms:W3CDTF">2023-12-01T09:13:00Z</dcterms:created>
  <dcterms:modified xsi:type="dcterms:W3CDTF">2023-12-01T09:18:00Z</dcterms:modified>
</cp:coreProperties>
</file>